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54" w:rsidRPr="00AA4D54" w:rsidRDefault="00AA4D54" w:rsidP="001B15B0">
      <w:pPr>
        <w:jc w:val="center"/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>R O M A N I A</w:t>
      </w:r>
    </w:p>
    <w:p w:rsidR="00AA4D54" w:rsidRPr="00AA4D54" w:rsidRDefault="00AA4D54" w:rsidP="001B15B0">
      <w:pPr>
        <w:jc w:val="center"/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>JUDETUL NEAMT</w:t>
      </w:r>
    </w:p>
    <w:p w:rsidR="00AA4D54" w:rsidRPr="00AA4D54" w:rsidRDefault="00AA4D54" w:rsidP="001B15B0">
      <w:pPr>
        <w:tabs>
          <w:tab w:val="left" w:pos="915"/>
          <w:tab w:val="center" w:pos="4860"/>
        </w:tabs>
        <w:jc w:val="center"/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>COMUNA DRAGANESTI</w:t>
      </w:r>
    </w:p>
    <w:p w:rsidR="00AA4D54" w:rsidRPr="00AA4D54" w:rsidRDefault="00AA4D54" w:rsidP="001B15B0">
      <w:pPr>
        <w:jc w:val="center"/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>PRIMAR</w:t>
      </w:r>
    </w:p>
    <w:p w:rsidR="00AA4D54" w:rsidRPr="00AA4D54" w:rsidRDefault="00AA4D54" w:rsidP="001B15B0">
      <w:pPr>
        <w:jc w:val="center"/>
        <w:rPr>
          <w:b/>
          <w:sz w:val="26"/>
          <w:szCs w:val="26"/>
          <w:lang w:val="it-IT"/>
        </w:rPr>
      </w:pPr>
    </w:p>
    <w:p w:rsidR="00AA4D54" w:rsidRPr="00AA4D54" w:rsidRDefault="00AA4D54" w:rsidP="001B15B0">
      <w:pPr>
        <w:jc w:val="center"/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>D I S P O Z I T I A</w:t>
      </w:r>
    </w:p>
    <w:p w:rsidR="00AA4D54" w:rsidRPr="00AA4D54" w:rsidRDefault="009967EC" w:rsidP="001B15B0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NR.</w:t>
      </w:r>
      <w:r w:rsidR="005B55CB">
        <w:rPr>
          <w:b/>
          <w:sz w:val="26"/>
          <w:szCs w:val="26"/>
          <w:lang w:val="it-IT"/>
        </w:rPr>
        <w:t>31</w:t>
      </w:r>
      <w:r>
        <w:rPr>
          <w:b/>
          <w:sz w:val="26"/>
          <w:szCs w:val="26"/>
          <w:lang w:val="it-IT"/>
        </w:rPr>
        <w:t xml:space="preserve">   </w:t>
      </w:r>
      <w:r w:rsidR="00AA4D54" w:rsidRPr="00AA4D54">
        <w:rPr>
          <w:b/>
          <w:sz w:val="26"/>
          <w:szCs w:val="26"/>
          <w:lang w:val="it-IT"/>
        </w:rPr>
        <w:t xml:space="preserve">DIN </w:t>
      </w:r>
      <w:r w:rsidR="005B55CB">
        <w:rPr>
          <w:b/>
          <w:sz w:val="26"/>
          <w:szCs w:val="26"/>
          <w:lang w:val="it-IT"/>
        </w:rPr>
        <w:t>30.03.2023</w:t>
      </w:r>
    </w:p>
    <w:p w:rsidR="00AA4D54" w:rsidRPr="00AA4D54" w:rsidRDefault="00AA4D54" w:rsidP="001B15B0">
      <w:pPr>
        <w:jc w:val="center"/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>Privind acordarea dreptului de ajutor social</w:t>
      </w:r>
    </w:p>
    <w:p w:rsidR="00AA4D54" w:rsidRPr="00AA4D54" w:rsidRDefault="00AA4D54" w:rsidP="00AA4D54">
      <w:pPr>
        <w:rPr>
          <w:sz w:val="26"/>
          <w:szCs w:val="26"/>
          <w:lang w:val="it-IT"/>
        </w:rPr>
      </w:pPr>
    </w:p>
    <w:p w:rsidR="00AA4D54" w:rsidRPr="00AA4D54" w:rsidRDefault="00CC16A8" w:rsidP="00AA4D54">
      <w:pPr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 xml:space="preserve">                                    </w:t>
      </w:r>
      <w:r w:rsidR="00AA4D54" w:rsidRPr="00AA4D54">
        <w:rPr>
          <w:b/>
          <w:i/>
          <w:sz w:val="26"/>
          <w:szCs w:val="26"/>
          <w:lang w:val="it-IT"/>
        </w:rPr>
        <w:t xml:space="preserve">Nechifor Ion </w:t>
      </w:r>
      <w:r w:rsidR="00AA4D54" w:rsidRPr="00AA4D54">
        <w:rPr>
          <w:sz w:val="26"/>
          <w:szCs w:val="26"/>
          <w:lang w:val="it-IT"/>
        </w:rPr>
        <w:t xml:space="preserve"> – primar al comunei Draganesti, judetul Neamt;</w:t>
      </w:r>
    </w:p>
    <w:p w:rsidR="00AA4D54" w:rsidRPr="00AA4D54" w:rsidRDefault="00235FA5" w:rsidP="00AA4D54">
      <w:pPr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Analizand continutul cerer</w:t>
      </w:r>
      <w:r w:rsidR="00AA4D54">
        <w:rPr>
          <w:sz w:val="26"/>
          <w:szCs w:val="26"/>
          <w:lang w:val="it-IT"/>
        </w:rPr>
        <w:t>ii si declaratiei</w:t>
      </w:r>
      <w:r w:rsidR="00AA4D54" w:rsidRPr="00AA4D54">
        <w:rPr>
          <w:sz w:val="26"/>
          <w:szCs w:val="26"/>
          <w:lang w:val="it-IT"/>
        </w:rPr>
        <w:t xml:space="preserve"> pe propria raspundere pentru acordarea unor drepturi de asistenta sociala insotite de actele doveditoare privind componenta familiei si veniturilor realizate in luna anterioara depunderii cererilor de catre membri</w:t>
      </w:r>
      <w:r>
        <w:rPr>
          <w:sz w:val="26"/>
          <w:szCs w:val="26"/>
          <w:lang w:val="it-IT"/>
        </w:rPr>
        <w:t>i</w:t>
      </w:r>
      <w:r w:rsidR="00AA4D54" w:rsidRPr="00AA4D54">
        <w:rPr>
          <w:sz w:val="26"/>
          <w:szCs w:val="26"/>
          <w:lang w:val="it-IT"/>
        </w:rPr>
        <w:t xml:space="preserve"> acestora,</w:t>
      </w:r>
      <w:r>
        <w:rPr>
          <w:sz w:val="26"/>
          <w:szCs w:val="26"/>
          <w:lang w:val="it-IT"/>
        </w:rPr>
        <w:t xml:space="preserve"> </w:t>
      </w:r>
      <w:r w:rsidR="00AA4D54" w:rsidRPr="00AA4D54">
        <w:rPr>
          <w:sz w:val="26"/>
          <w:szCs w:val="26"/>
          <w:lang w:val="it-IT"/>
        </w:rPr>
        <w:t>precum si verificarea situatiei de</w:t>
      </w:r>
      <w:r>
        <w:rPr>
          <w:sz w:val="26"/>
          <w:szCs w:val="26"/>
          <w:lang w:val="it-IT"/>
        </w:rPr>
        <w:t xml:space="preserve"> </w:t>
      </w:r>
      <w:r w:rsidR="00AA4D54" w:rsidRPr="00AA4D54">
        <w:rPr>
          <w:sz w:val="26"/>
          <w:szCs w:val="26"/>
          <w:lang w:val="it-IT"/>
        </w:rPr>
        <w:t>fapt rezultata din anchetele sociale,</w:t>
      </w:r>
      <w:r>
        <w:rPr>
          <w:sz w:val="26"/>
          <w:szCs w:val="26"/>
          <w:lang w:val="it-IT"/>
        </w:rPr>
        <w:t xml:space="preserve"> </w:t>
      </w:r>
      <w:r w:rsidR="00AA4D54" w:rsidRPr="00AA4D54">
        <w:rPr>
          <w:sz w:val="26"/>
          <w:szCs w:val="26"/>
          <w:lang w:val="it-IT"/>
        </w:rPr>
        <w:t xml:space="preserve">efectuate la domiciliul familiilor sau persoanelor singure; </w:t>
      </w:r>
    </w:p>
    <w:p w:rsidR="00AA4D54" w:rsidRPr="00AA4D54" w:rsidRDefault="00AA4D54" w:rsidP="00AA4D54">
      <w:pPr>
        <w:rPr>
          <w:sz w:val="26"/>
          <w:szCs w:val="26"/>
          <w:lang w:val="it-IT"/>
        </w:rPr>
      </w:pPr>
      <w:r w:rsidRPr="00AA4D54">
        <w:rPr>
          <w:sz w:val="26"/>
          <w:szCs w:val="26"/>
          <w:lang w:val="it-IT"/>
        </w:rPr>
        <w:t xml:space="preserve">            Avand in vedere prevederile art.12 alin(1) Legea nr.416/2001, privind venitul minim garantat, modificata precum ale art. 24 alin (2) din HGR nr. 50/2011 pentru  aprobarea Normelor metodologice de aplicare a prevederelor Legii nr.416/2001 privind venitul minim garantat;</w:t>
      </w:r>
    </w:p>
    <w:p w:rsidR="00AA4D54" w:rsidRPr="00AA4D54" w:rsidRDefault="00AA4D54" w:rsidP="00AA4D54">
      <w:pPr>
        <w:jc w:val="both"/>
        <w:rPr>
          <w:sz w:val="26"/>
          <w:szCs w:val="26"/>
          <w:lang w:val="it-IT"/>
        </w:rPr>
      </w:pPr>
      <w:r w:rsidRPr="00AA4D5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AA4D54" w:rsidRPr="00AA4D54" w:rsidRDefault="00AA4D54" w:rsidP="00AA4D54">
      <w:pPr>
        <w:rPr>
          <w:b/>
          <w:sz w:val="26"/>
          <w:szCs w:val="26"/>
          <w:lang w:val="it-IT"/>
        </w:rPr>
      </w:pPr>
    </w:p>
    <w:p w:rsidR="00AA4D54" w:rsidRPr="00AA4D54" w:rsidRDefault="00AA4D54" w:rsidP="00AA4D54">
      <w:pPr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 xml:space="preserve">                                                                 D I S P U N:</w:t>
      </w:r>
    </w:p>
    <w:p w:rsidR="00AA4D54" w:rsidRPr="00AA4D54" w:rsidRDefault="00AA4D54" w:rsidP="00AA4D54">
      <w:pPr>
        <w:rPr>
          <w:sz w:val="26"/>
          <w:szCs w:val="26"/>
          <w:lang w:val="it-IT"/>
        </w:rPr>
      </w:pPr>
    </w:p>
    <w:p w:rsidR="00AA4D54" w:rsidRPr="00AA4D54" w:rsidRDefault="00AA4D54" w:rsidP="00AA4D54">
      <w:pPr>
        <w:rPr>
          <w:sz w:val="26"/>
          <w:szCs w:val="26"/>
          <w:lang w:val="it-IT"/>
        </w:rPr>
      </w:pPr>
      <w:r w:rsidRPr="00AA4D54">
        <w:rPr>
          <w:sz w:val="26"/>
          <w:szCs w:val="26"/>
          <w:lang w:val="it-IT"/>
        </w:rPr>
        <w:t xml:space="preserve">               Art. 1.- Se acorda dreptul la aj</w:t>
      </w:r>
      <w:r>
        <w:rPr>
          <w:sz w:val="26"/>
          <w:szCs w:val="26"/>
          <w:lang w:val="it-IT"/>
        </w:rPr>
        <w:t>utor social titular</w:t>
      </w:r>
      <w:bookmarkStart w:id="0" w:name="_GoBack"/>
      <w:bookmarkEnd w:id="0"/>
      <w:r w:rsidR="00CC16A8">
        <w:rPr>
          <w:sz w:val="26"/>
          <w:szCs w:val="26"/>
          <w:lang w:val="it-IT"/>
        </w:rPr>
        <w:t xml:space="preserve">ului </w:t>
      </w:r>
      <w:r w:rsidR="005B55CB">
        <w:rPr>
          <w:sz w:val="26"/>
          <w:szCs w:val="26"/>
          <w:lang w:val="it-IT"/>
        </w:rPr>
        <w:t>ISTRATE CORNELIA</w:t>
      </w:r>
      <w:r w:rsidRPr="00AA4D54">
        <w:rPr>
          <w:sz w:val="26"/>
          <w:szCs w:val="26"/>
          <w:lang w:val="it-IT"/>
        </w:rPr>
        <w:t xml:space="preserve">  CNP </w:t>
      </w:r>
      <w:r w:rsidR="00235FA5">
        <w:rPr>
          <w:sz w:val="26"/>
          <w:szCs w:val="26"/>
          <w:lang w:val="it-IT"/>
        </w:rPr>
        <w:t>2</w:t>
      </w:r>
      <w:r w:rsidR="005B55CB">
        <w:rPr>
          <w:sz w:val="26"/>
          <w:szCs w:val="26"/>
          <w:lang w:val="it-IT"/>
        </w:rPr>
        <w:t>600609274786</w:t>
      </w:r>
      <w:r w:rsidR="009967EC">
        <w:rPr>
          <w:sz w:val="26"/>
          <w:szCs w:val="26"/>
          <w:lang w:val="it-IT"/>
        </w:rPr>
        <w:t xml:space="preserve"> </w:t>
      </w:r>
      <w:r w:rsidRPr="00AA4D54">
        <w:rPr>
          <w:sz w:val="26"/>
          <w:szCs w:val="26"/>
          <w:lang w:val="it-IT"/>
        </w:rPr>
        <w:t xml:space="preserve"> </w:t>
      </w:r>
      <w:r w:rsidR="009967EC">
        <w:rPr>
          <w:sz w:val="26"/>
          <w:szCs w:val="26"/>
          <w:lang w:val="it-IT"/>
        </w:rPr>
        <w:t>pentru familia</w:t>
      </w:r>
      <w:r w:rsidRPr="00AA4D54">
        <w:rPr>
          <w:sz w:val="26"/>
          <w:szCs w:val="26"/>
          <w:lang w:val="it-IT"/>
        </w:rPr>
        <w:t xml:space="preserve"> formata din</w:t>
      </w:r>
      <w:r w:rsidR="00235FA5">
        <w:rPr>
          <w:sz w:val="26"/>
          <w:szCs w:val="26"/>
          <w:lang w:val="it-IT"/>
        </w:rPr>
        <w:t xml:space="preserve">tr-o persoana, incepand cu data de: </w:t>
      </w:r>
      <w:r w:rsidR="005B55CB">
        <w:rPr>
          <w:b/>
          <w:i/>
          <w:sz w:val="26"/>
          <w:szCs w:val="26"/>
          <w:lang w:val="it-IT"/>
        </w:rPr>
        <w:t>01.04</w:t>
      </w:r>
      <w:r w:rsidR="00235FA5" w:rsidRPr="00FD2B31">
        <w:rPr>
          <w:b/>
          <w:i/>
          <w:sz w:val="26"/>
          <w:szCs w:val="26"/>
          <w:lang w:val="it-IT"/>
        </w:rPr>
        <w:t>.2023</w:t>
      </w:r>
      <w:r w:rsidR="005B55CB">
        <w:rPr>
          <w:sz w:val="26"/>
          <w:szCs w:val="26"/>
          <w:lang w:val="it-IT"/>
        </w:rPr>
        <w:t>, dosar nr.1</w:t>
      </w:r>
      <w:r w:rsidR="00972B3E">
        <w:rPr>
          <w:sz w:val="26"/>
          <w:szCs w:val="26"/>
          <w:lang w:val="it-IT"/>
        </w:rPr>
        <w:t>/2023</w:t>
      </w:r>
      <w:r w:rsidR="009967EC">
        <w:rPr>
          <w:sz w:val="26"/>
          <w:szCs w:val="26"/>
          <w:lang w:val="it-IT"/>
        </w:rPr>
        <w:t>,</w:t>
      </w:r>
      <w:r w:rsidR="00235FA5">
        <w:rPr>
          <w:sz w:val="26"/>
          <w:szCs w:val="26"/>
          <w:lang w:val="it-IT"/>
        </w:rPr>
        <w:t xml:space="preserve">  in cuantum de</w:t>
      </w:r>
      <w:r w:rsidR="00235FA5" w:rsidRPr="00FD2B31">
        <w:rPr>
          <w:i/>
          <w:sz w:val="26"/>
          <w:szCs w:val="26"/>
          <w:lang w:val="it-IT"/>
        </w:rPr>
        <w:t xml:space="preserve"> </w:t>
      </w:r>
      <w:r w:rsidR="00235FA5" w:rsidRPr="00FD2B31">
        <w:rPr>
          <w:b/>
          <w:i/>
          <w:sz w:val="26"/>
          <w:szCs w:val="26"/>
          <w:lang w:val="it-IT"/>
        </w:rPr>
        <w:t>1</w:t>
      </w:r>
      <w:r w:rsidR="005B55CB">
        <w:rPr>
          <w:b/>
          <w:i/>
          <w:sz w:val="26"/>
          <w:szCs w:val="26"/>
          <w:lang w:val="it-IT"/>
        </w:rPr>
        <w:t>20</w:t>
      </w:r>
      <w:r w:rsidR="00235FA5">
        <w:rPr>
          <w:sz w:val="26"/>
          <w:szCs w:val="26"/>
          <w:lang w:val="it-IT"/>
        </w:rPr>
        <w:t xml:space="preserve"> </w:t>
      </w:r>
      <w:r w:rsidRPr="00AA4D54">
        <w:rPr>
          <w:sz w:val="26"/>
          <w:szCs w:val="26"/>
          <w:lang w:val="it-IT"/>
        </w:rPr>
        <w:t>lei.</w:t>
      </w:r>
    </w:p>
    <w:p w:rsidR="00AA4D54" w:rsidRPr="00AA4D54" w:rsidRDefault="00AA4D54" w:rsidP="00AA4D54">
      <w:pPr>
        <w:rPr>
          <w:sz w:val="26"/>
          <w:szCs w:val="26"/>
          <w:lang w:val="it-IT"/>
        </w:rPr>
      </w:pPr>
      <w:r w:rsidRPr="00AA4D54">
        <w:rPr>
          <w:sz w:val="26"/>
          <w:szCs w:val="26"/>
          <w:lang w:val="it-IT"/>
        </w:rPr>
        <w:t xml:space="preserve">               Art.2.- Cuantumul ajutorului social se stabileste ca diferenta intre nivelurile prevazute la art.4 alin(1) din Legea nr.416/2001 si venitul net lunar al familiei sau persoanei singure , rezultat din fisa de calcul.</w:t>
      </w:r>
    </w:p>
    <w:p w:rsidR="00AA4D54" w:rsidRPr="00AA4D54" w:rsidRDefault="00AA4D54" w:rsidP="00AA4D54">
      <w:pPr>
        <w:jc w:val="both"/>
        <w:rPr>
          <w:sz w:val="26"/>
          <w:szCs w:val="26"/>
          <w:lang w:val="it-IT"/>
        </w:rPr>
      </w:pPr>
      <w:r w:rsidRPr="00AA4D54">
        <w:rPr>
          <w:sz w:val="26"/>
          <w:szCs w:val="26"/>
          <w:lang w:val="it-IT"/>
        </w:rPr>
        <w:tab/>
        <w:t xml:space="preserve">     Art.3.- Prezenta dispozitie se poate ataca, la Tribunalul Neamţ,  în termen de 30 de zile de la comunicare, potrivit prevederilor Legii contenciosului administrativ nr.554/2004, cu modificările şi completările ulterioare, după efectuarea procedurilor prealabile.</w:t>
      </w:r>
    </w:p>
    <w:p w:rsidR="00AA4D54" w:rsidRPr="00AA4D54" w:rsidRDefault="00AA4D54" w:rsidP="00AA4D54">
      <w:pPr>
        <w:rPr>
          <w:sz w:val="26"/>
          <w:szCs w:val="26"/>
          <w:lang w:val="it-IT"/>
        </w:rPr>
      </w:pPr>
      <w:r w:rsidRPr="00AA4D54">
        <w:rPr>
          <w:sz w:val="26"/>
          <w:szCs w:val="26"/>
          <w:lang w:val="it-IT"/>
        </w:rPr>
        <w:t xml:space="preserve">               Art.4.- Secretarul comunei va comunica autoritatilor si persoanelor interesate, in copie, prezenta dispozitie.</w:t>
      </w:r>
    </w:p>
    <w:p w:rsidR="00AA4D54" w:rsidRPr="00AA4D54" w:rsidRDefault="00CC16A8" w:rsidP="00AA4D54">
      <w:pPr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               P R I M A R,                                            </w:t>
      </w:r>
      <w:r w:rsidR="00AA4D54" w:rsidRPr="00AA4D54">
        <w:rPr>
          <w:b/>
          <w:sz w:val="26"/>
          <w:szCs w:val="26"/>
          <w:lang w:val="it-IT"/>
        </w:rPr>
        <w:t xml:space="preserve">         Contrasemneaza pentru legalitate                   </w:t>
      </w:r>
    </w:p>
    <w:p w:rsidR="00AA4D54" w:rsidRPr="00AA4D54" w:rsidRDefault="00AA4D54" w:rsidP="00AA4D54">
      <w:pPr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ab/>
        <w:t xml:space="preserve">  Ion Nechifor  </w:t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="00CC16A8">
        <w:rPr>
          <w:b/>
          <w:sz w:val="26"/>
          <w:szCs w:val="26"/>
          <w:lang w:val="it-IT"/>
        </w:rPr>
        <w:t xml:space="preserve">                             </w:t>
      </w:r>
      <w:r w:rsidRPr="00AA4D54">
        <w:rPr>
          <w:b/>
          <w:sz w:val="26"/>
          <w:szCs w:val="26"/>
          <w:lang w:val="it-IT"/>
        </w:rPr>
        <w:t xml:space="preserve"> SECRETAR GENERAL  ,</w:t>
      </w:r>
    </w:p>
    <w:p w:rsidR="00AA4D54" w:rsidRDefault="00AA4D54" w:rsidP="00AA4D54">
      <w:pPr>
        <w:rPr>
          <w:b/>
          <w:sz w:val="26"/>
          <w:szCs w:val="26"/>
          <w:lang w:val="it-IT"/>
        </w:rPr>
      </w:pP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</w:r>
      <w:r w:rsidRPr="00AA4D54">
        <w:rPr>
          <w:b/>
          <w:sz w:val="26"/>
          <w:szCs w:val="26"/>
          <w:lang w:val="it-IT"/>
        </w:rPr>
        <w:tab/>
        <w:t xml:space="preserve">              </w:t>
      </w:r>
      <w:r w:rsidR="00CC16A8">
        <w:rPr>
          <w:b/>
          <w:sz w:val="26"/>
          <w:szCs w:val="26"/>
          <w:lang w:val="it-IT"/>
        </w:rPr>
        <w:t xml:space="preserve">                                            </w:t>
      </w:r>
      <w:r w:rsidRPr="00AA4D54">
        <w:rPr>
          <w:b/>
          <w:sz w:val="26"/>
          <w:szCs w:val="26"/>
          <w:lang w:val="it-IT"/>
        </w:rPr>
        <w:t xml:space="preserve">  Cristina Gaina  </w:t>
      </w:r>
    </w:p>
    <w:p w:rsidR="00AA4D54" w:rsidRPr="00AA4D54" w:rsidRDefault="00AA4D54" w:rsidP="00AA4D54">
      <w:pPr>
        <w:rPr>
          <w:b/>
          <w:sz w:val="26"/>
          <w:szCs w:val="2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6520"/>
        <w:gridCol w:w="1276"/>
        <w:gridCol w:w="1985"/>
      </w:tblGrid>
      <w:tr w:rsidR="00AA4D54" w:rsidRPr="00732193" w:rsidTr="00966601">
        <w:trPr>
          <w:trHeight w:val="70"/>
        </w:trPr>
        <w:tc>
          <w:tcPr>
            <w:tcW w:w="1027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AA4D54" w:rsidRPr="00732193" w:rsidRDefault="00AA4D54" w:rsidP="003F5987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AA4D54" w:rsidRPr="00732193" w:rsidRDefault="00AA4D54" w:rsidP="003F598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AA4D54" w:rsidRPr="00732193" w:rsidTr="00966601">
        <w:trPr>
          <w:trHeight w:val="70"/>
        </w:trPr>
        <w:tc>
          <w:tcPr>
            <w:tcW w:w="1027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AA4D54" w:rsidRPr="00732193" w:rsidRDefault="00AA4D54" w:rsidP="005B55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5B55CB">
              <w:rPr>
                <w:rFonts w:ascii="Arial" w:hAnsi="Arial" w:cs="Arial"/>
                <w:b/>
                <w:bCs/>
                <w:sz w:val="18"/>
                <w:lang w:val="ro-RO"/>
              </w:rPr>
              <w:t>31</w:t>
            </w:r>
            <w:r w:rsidRPr="00732193"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</w:t>
            </w:r>
            <w:r w:rsidR="00CC16A8">
              <w:rPr>
                <w:rFonts w:ascii="Arial" w:hAnsi="Arial" w:cs="Arial"/>
                <w:b/>
                <w:bCs/>
                <w:sz w:val="18"/>
                <w:lang w:val="ro-RO"/>
              </w:rPr>
              <w:t>2</w:t>
            </w:r>
            <w:r w:rsidR="00972B3E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AA4D54" w:rsidRPr="00732193" w:rsidTr="0096660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AA4D54" w:rsidRPr="00732193" w:rsidTr="00966601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AA4D54" w:rsidRPr="00732193" w:rsidRDefault="00AA4D54" w:rsidP="003F5987">
            <w:pPr>
              <w:tabs>
                <w:tab w:val="left" w:pos="561"/>
                <w:tab w:val="left" w:pos="7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732193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</w:p>
        </w:tc>
      </w:tr>
      <w:tr w:rsidR="00AA4D54" w:rsidRPr="00732193" w:rsidTr="00562F5F">
        <w:trPr>
          <w:trHeight w:val="312"/>
        </w:trPr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Semnarea dispoziției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5F" w:rsidRPr="00562F5F" w:rsidRDefault="005B55CB" w:rsidP="00562F5F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30.03.2023</w:t>
            </w:r>
          </w:p>
          <w:p w:rsidR="00AA4D54" w:rsidRPr="00562F5F" w:rsidRDefault="00AA4D54" w:rsidP="00966601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A4D54" w:rsidRPr="00732193" w:rsidRDefault="00AA4D54" w:rsidP="003F5987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AA4D54" w:rsidRPr="00732193" w:rsidTr="00966601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54" w:rsidRPr="00732193" w:rsidRDefault="00AA4D54" w:rsidP="003F5987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D54" w:rsidRPr="00732193" w:rsidRDefault="00562F5F" w:rsidP="005B55CB">
            <w:pPr>
              <w:ind w:left="-57" w:right="-57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 xml:space="preserve">  </w:t>
            </w:r>
            <w:r w:rsidR="005B55CB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AA4D54" w:rsidRPr="00732193" w:rsidRDefault="00AA4D54" w:rsidP="003F5987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62F5F" w:rsidRPr="00732193" w:rsidTr="00966601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5F" w:rsidRPr="00732193" w:rsidRDefault="00562F5F" w:rsidP="003F5987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5F" w:rsidRPr="00732193" w:rsidRDefault="00562F5F" w:rsidP="003F5987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5F" w:rsidRDefault="005B55CB"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62F5F" w:rsidRPr="00732193" w:rsidRDefault="00562F5F" w:rsidP="003F5987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62F5F" w:rsidRPr="00732193" w:rsidTr="00966601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5F" w:rsidRPr="00732193" w:rsidRDefault="00562F5F" w:rsidP="003F5987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5F" w:rsidRPr="00732193" w:rsidRDefault="00562F5F" w:rsidP="003F5987">
            <w:pPr>
              <w:spacing w:before="40"/>
              <w:rPr>
                <w:rFonts w:ascii="Arial" w:hAnsi="Arial" w:cs="Arial"/>
                <w:sz w:val="18"/>
                <w:lang w:val="ro-RO"/>
              </w:rPr>
            </w:pPr>
            <w:r w:rsidRPr="00732193"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 w:rsidRPr="00732193"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 w:rsidRPr="00732193"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5F" w:rsidRDefault="005B55CB"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62F5F" w:rsidRPr="00732193" w:rsidRDefault="00562F5F" w:rsidP="003F5987">
            <w:pPr>
              <w:spacing w:before="40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62F5F" w:rsidRPr="00732193" w:rsidTr="00966601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5F" w:rsidRPr="00732193" w:rsidRDefault="00562F5F" w:rsidP="003F5987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 w:rsidRPr="00732193"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5F" w:rsidRPr="00732193" w:rsidRDefault="00562F5F" w:rsidP="003F5987">
            <w:pPr>
              <w:spacing w:before="40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 w:rsidRPr="00732193"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732193"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 w:rsidRPr="00732193"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F5F" w:rsidRDefault="005B55CB"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62F5F" w:rsidRPr="00732193" w:rsidRDefault="00562F5F" w:rsidP="003F5987">
            <w:pPr>
              <w:spacing w:before="40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AA4D54" w:rsidRPr="00732193" w:rsidTr="00966601">
        <w:tc>
          <w:tcPr>
            <w:tcW w:w="10278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A4D54" w:rsidRPr="00732193" w:rsidRDefault="00AA4D54" w:rsidP="00AA4D54">
            <w:pPr>
              <w:contextualSpacing/>
              <w:jc w:val="both"/>
              <w:rPr>
                <w:rFonts w:ascii="Arial" w:hAnsi="Arial" w:cs="Arial"/>
                <w:i/>
                <w:sz w:val="18"/>
                <w:lang w:val="ro-RO"/>
              </w:rPr>
            </w:pPr>
          </w:p>
        </w:tc>
      </w:tr>
    </w:tbl>
    <w:p w:rsidR="00AA4D54" w:rsidRDefault="00AA4D54" w:rsidP="00AA4D54"/>
    <w:p w:rsidR="00AA4D54" w:rsidRDefault="00AA4D54" w:rsidP="00AA4D54"/>
    <w:p w:rsidR="000C3883" w:rsidRDefault="000C3883"/>
    <w:sectPr w:rsidR="000C3883" w:rsidSect="00AA4D54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D54"/>
    <w:rsid w:val="00050776"/>
    <w:rsid w:val="000A23D6"/>
    <w:rsid w:val="000C3883"/>
    <w:rsid w:val="001B15B0"/>
    <w:rsid w:val="00235FA5"/>
    <w:rsid w:val="00246BB8"/>
    <w:rsid w:val="00486B8D"/>
    <w:rsid w:val="00491955"/>
    <w:rsid w:val="00562F5F"/>
    <w:rsid w:val="005B55CB"/>
    <w:rsid w:val="00613186"/>
    <w:rsid w:val="006C1B2B"/>
    <w:rsid w:val="006E557E"/>
    <w:rsid w:val="00966601"/>
    <w:rsid w:val="00972B3E"/>
    <w:rsid w:val="009967EC"/>
    <w:rsid w:val="00AA4D54"/>
    <w:rsid w:val="00B807FB"/>
    <w:rsid w:val="00CC16A8"/>
    <w:rsid w:val="00E01353"/>
    <w:rsid w:val="00F17DD9"/>
    <w:rsid w:val="00F867CC"/>
    <w:rsid w:val="00FD2B31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cri</cp:lastModifiedBy>
  <cp:revision>2</cp:revision>
  <cp:lastPrinted>2023-04-04T06:27:00Z</cp:lastPrinted>
  <dcterms:created xsi:type="dcterms:W3CDTF">2023-04-04T06:28:00Z</dcterms:created>
  <dcterms:modified xsi:type="dcterms:W3CDTF">2023-04-04T06:28:00Z</dcterms:modified>
</cp:coreProperties>
</file>