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O M A N I A</w:t>
      </w:r>
    </w:p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 NEAMT</w:t>
      </w:r>
    </w:p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 DRAGANESTI</w:t>
      </w:r>
    </w:p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O T A R A R E A</w:t>
      </w:r>
    </w:p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14 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05.05.2022</w:t>
      </w:r>
    </w:p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534C16" w:rsidRDefault="00534C16" w:rsidP="00534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C16" w:rsidRDefault="00534C16" w:rsidP="00534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CONSILIUL LOCAL DRAGANESTI</w:t>
      </w:r>
    </w:p>
    <w:p w:rsidR="00534C16" w:rsidRDefault="00534C16" w:rsidP="00534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Nechifor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Ion,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1131 din  06.04.2022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nr.1137 din 06.04.2022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2022; </w:t>
      </w:r>
    </w:p>
    <w:p w:rsidR="00534C16" w:rsidRDefault="00534C16" w:rsidP="00534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34C16" w:rsidRDefault="00534C16" w:rsidP="00534C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alin.2,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OUG nr. 26/2012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72A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proofErr w:type="gramEnd"/>
      <w:r w:rsidRPr="009F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intarirea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AD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9F72AD">
        <w:rPr>
          <w:rFonts w:ascii="Times New Roman" w:hAnsi="Times New Roman" w:cs="Times New Roman"/>
          <w:sz w:val="24"/>
          <w:szCs w:val="24"/>
        </w:rPr>
        <w:t xml:space="preserve"> normative;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.(14), art. 139,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din OUG nr. 57 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H O 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 A S T E: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Art.1.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Art.2.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 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8.000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Art.3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achizitionarii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Art.4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Draganesti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C16" w:rsidRDefault="00534C16" w:rsidP="00534C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34C16" w:rsidRPr="00534C16" w:rsidRDefault="00DA4F82" w:rsidP="00534C1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534C16" w:rsidRPr="00534C16">
        <w:rPr>
          <w:rFonts w:ascii="Times New Roman" w:hAnsi="Times New Roman" w:cs="Times New Roman"/>
          <w:sz w:val="27"/>
          <w:szCs w:val="27"/>
        </w:rPr>
        <w:t xml:space="preserve">PRESEDINTE DE SEDINTA,                        </w:t>
      </w:r>
      <w:proofErr w:type="spellStart"/>
      <w:r w:rsidR="00534C16" w:rsidRPr="00534C16">
        <w:rPr>
          <w:rFonts w:ascii="Times New Roman" w:hAnsi="Times New Roman" w:cs="Times New Roman"/>
          <w:sz w:val="27"/>
          <w:szCs w:val="27"/>
        </w:rPr>
        <w:t>Contrasemneaza</w:t>
      </w:r>
      <w:proofErr w:type="spellEnd"/>
      <w:r w:rsidR="00534C16" w:rsidRPr="00534C1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4C16" w:rsidRPr="00534C16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534C16" w:rsidRPr="00534C1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4C16" w:rsidRPr="00534C16">
        <w:rPr>
          <w:rFonts w:ascii="Times New Roman" w:hAnsi="Times New Roman" w:cs="Times New Roman"/>
          <w:sz w:val="27"/>
          <w:szCs w:val="27"/>
        </w:rPr>
        <w:t>legalitate</w:t>
      </w:r>
      <w:proofErr w:type="spellEnd"/>
      <w:r w:rsidR="00534C16" w:rsidRPr="00534C16">
        <w:rPr>
          <w:rFonts w:ascii="Times New Roman" w:hAnsi="Times New Roman" w:cs="Times New Roman"/>
          <w:sz w:val="27"/>
          <w:szCs w:val="27"/>
        </w:rPr>
        <w:t>,</w:t>
      </w:r>
    </w:p>
    <w:p w:rsidR="00534C16" w:rsidRPr="00534C16" w:rsidRDefault="00534C16" w:rsidP="00534C1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4C16">
        <w:rPr>
          <w:rFonts w:ascii="Times New Roman" w:hAnsi="Times New Roman" w:cs="Times New Roman"/>
          <w:sz w:val="27"/>
          <w:szCs w:val="27"/>
        </w:rPr>
        <w:t xml:space="preserve">                 C O N S I L I E R,                                                   SECRETAR GENERAL,</w:t>
      </w:r>
    </w:p>
    <w:p w:rsidR="00534C16" w:rsidRPr="00534C16" w:rsidRDefault="00534C16" w:rsidP="00534C1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4C16">
        <w:rPr>
          <w:rFonts w:ascii="Times New Roman" w:hAnsi="Times New Roman" w:cs="Times New Roman"/>
          <w:sz w:val="27"/>
          <w:szCs w:val="27"/>
        </w:rPr>
        <w:t xml:space="preserve">                  VASILE GAINA                                                        CRISTINA GAINA </w:t>
      </w:r>
    </w:p>
    <w:p w:rsidR="00534C16" w:rsidRPr="00534C16" w:rsidRDefault="00534C16" w:rsidP="00534C1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34C16" w:rsidRPr="00534C16" w:rsidRDefault="00534C16" w:rsidP="00534C16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spellStart"/>
      <w:r w:rsidRPr="00534C16">
        <w:rPr>
          <w:rFonts w:ascii="Times New Roman" w:hAnsi="Times New Roman" w:cs="Times New Roman"/>
          <w:sz w:val="27"/>
          <w:szCs w:val="27"/>
        </w:rPr>
        <w:t>Prezenta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hotarare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fost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votata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consilierii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locali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astfel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>:</w:t>
      </w:r>
    </w:p>
    <w:p w:rsidR="00534C16" w:rsidRPr="00534C16" w:rsidRDefault="00534C16" w:rsidP="00534C1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4C16">
        <w:rPr>
          <w:rFonts w:ascii="Times New Roman" w:hAnsi="Times New Roman" w:cs="Times New Roman"/>
          <w:sz w:val="27"/>
          <w:szCs w:val="27"/>
        </w:rPr>
        <w:t xml:space="preserve">11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, 0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impotriva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, 0 </w:t>
      </w:r>
      <w:proofErr w:type="spellStart"/>
      <w:r w:rsidRPr="00534C16">
        <w:rPr>
          <w:rFonts w:ascii="Times New Roman" w:hAnsi="Times New Roman" w:cs="Times New Roman"/>
          <w:sz w:val="27"/>
          <w:szCs w:val="27"/>
        </w:rPr>
        <w:t>abtineri</w:t>
      </w:r>
      <w:proofErr w:type="spellEnd"/>
      <w:r w:rsidRPr="00534C1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6A9B" w:rsidRDefault="00AB6A9B"/>
    <w:p w:rsidR="00534C16" w:rsidRDefault="00534C16"/>
    <w:p w:rsidR="00534C16" w:rsidRDefault="00534C16"/>
    <w:p w:rsidR="00534C16" w:rsidRDefault="00534C16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80"/>
        <w:gridCol w:w="4731"/>
        <w:gridCol w:w="399"/>
        <w:gridCol w:w="885"/>
        <w:gridCol w:w="510"/>
        <w:gridCol w:w="2445"/>
        <w:gridCol w:w="723"/>
      </w:tblGrid>
      <w:tr w:rsidR="00534C16" w:rsidRPr="00534C16" w:rsidTr="006C0CB2">
        <w:tc>
          <w:tcPr>
            <w:tcW w:w="10173" w:type="dxa"/>
            <w:gridSpan w:val="7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lastRenderedPageBreak/>
              <w:t>PROCEDURI ADMINISTRATIVE OBLIGATORII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Anterioare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atestarii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autencitatii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Hotararii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local Nr.</w:t>
            </w:r>
            <w:r w:rsidR="00A9688B">
              <w:rPr>
                <w:rFonts w:ascii="Times New Roman" w:hAnsi="Times New Roman" w:cs="Times New Roman"/>
              </w:rPr>
              <w:t>16 din 19</w:t>
            </w:r>
            <w:r w:rsidRPr="00534C16">
              <w:rPr>
                <w:rFonts w:ascii="Times New Roman" w:hAnsi="Times New Roman" w:cs="Times New Roman"/>
              </w:rPr>
              <w:t>.05.2022</w:t>
            </w:r>
          </w:p>
        </w:tc>
      </w:tr>
      <w:tr w:rsidR="00534C16" w:rsidRPr="00534C16" w:rsidTr="006C0CB2">
        <w:tc>
          <w:tcPr>
            <w:tcW w:w="5211" w:type="dxa"/>
            <w:gridSpan w:val="2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PROCEDURA DE VOT UTILIZATA</w:t>
            </w:r>
          </w:p>
        </w:tc>
        <w:tc>
          <w:tcPr>
            <w:tcW w:w="4962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Vot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prin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ridicarea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4C16">
              <w:rPr>
                <w:rFonts w:ascii="Times New Roman" w:hAnsi="Times New Roman" w:cs="Times New Roman"/>
              </w:rPr>
              <w:t>mainii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individual</w:t>
            </w:r>
          </w:p>
        </w:tc>
      </w:tr>
      <w:tr w:rsidR="00534C16" w:rsidRPr="00534C16" w:rsidTr="006C0CB2">
        <w:tc>
          <w:tcPr>
            <w:tcW w:w="10173" w:type="dxa"/>
            <w:gridSpan w:val="7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HOTARARE CU CARACTER INDIVIDUAL</w:t>
            </w:r>
          </w:p>
        </w:tc>
      </w:tr>
      <w:tr w:rsidR="00534C16" w:rsidRPr="00534C16" w:rsidTr="006C0CB2"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5" w:type="dxa"/>
            <w:gridSpan w:val="3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Hotarare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adopta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534C16">
              <w:rPr>
                <w:rFonts w:ascii="Times New Roman" w:hAnsi="Times New Roman" w:cs="Times New Roman"/>
              </w:rPr>
              <w:t>votul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: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Majoritatii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34C16">
              <w:rPr>
                <w:rFonts w:ascii="Times New Roman" w:hAnsi="Times New Roman" w:cs="Times New Roman"/>
              </w:rPr>
              <w:t>functie</w:t>
            </w:r>
            <w:proofErr w:type="spellEnd"/>
          </w:p>
        </w:tc>
        <w:tc>
          <w:tcPr>
            <w:tcW w:w="2955" w:type="dxa"/>
            <w:gridSpan w:val="2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Voturi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necesare</w:t>
            </w:r>
            <w:proofErr w:type="spellEnd"/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7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</w:tc>
      </w:tr>
      <w:tr w:rsidR="00534C16" w:rsidRPr="00534C16" w:rsidTr="006C0CB2"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0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locali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legii</w:t>
            </w:r>
            <w:proofErr w:type="spellEnd"/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11</w:t>
            </w:r>
          </w:p>
        </w:tc>
      </w:tr>
      <w:tr w:rsidR="00534C16" w:rsidRPr="00534C16" w:rsidTr="006C0CB2"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0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locali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34C16">
              <w:rPr>
                <w:rFonts w:ascii="Times New Roman" w:hAnsi="Times New Roman" w:cs="Times New Roman"/>
              </w:rPr>
              <w:t>functie</w:t>
            </w:r>
            <w:proofErr w:type="spellEnd"/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11</w:t>
            </w:r>
          </w:p>
        </w:tc>
      </w:tr>
      <w:tr w:rsidR="00534C16" w:rsidRPr="00534C16" w:rsidTr="006C0CB2"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0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locali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prezenti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adoptarea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hotararii</w:t>
            </w:r>
            <w:proofErr w:type="spellEnd"/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11</w:t>
            </w:r>
          </w:p>
        </w:tc>
      </w:tr>
      <w:tr w:rsidR="00534C16" w:rsidRPr="00534C16" w:rsidTr="006C0CB2"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0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voturi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         </w:t>
            </w:r>
            <w:r w:rsidRPr="00534C16">
              <w:rPr>
                <w:rFonts w:ascii="Times New Roman" w:hAnsi="Times New Roman" w:cs="Times New Roman"/>
                <w:b/>
              </w:rPr>
              <w:t>,, PENTRU,,</w:t>
            </w:r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11</w:t>
            </w:r>
          </w:p>
        </w:tc>
      </w:tr>
      <w:tr w:rsidR="00534C16" w:rsidRPr="00534C16" w:rsidTr="006C0CB2">
        <w:trPr>
          <w:trHeight w:val="355"/>
        </w:trPr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0" w:type="dxa"/>
            <w:gridSpan w:val="2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voturi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       </w:t>
            </w:r>
            <w:r w:rsidRPr="00534C16">
              <w:rPr>
                <w:rFonts w:ascii="Times New Roman" w:hAnsi="Times New Roman" w:cs="Times New Roman"/>
                <w:b/>
              </w:rPr>
              <w:t>,, IMPOTRIVA,,</w:t>
            </w:r>
            <w:r w:rsidRPr="00534C16">
              <w:rPr>
                <w:rFonts w:ascii="Times New Roman" w:hAnsi="Times New Roman" w:cs="Times New Roman"/>
              </w:rPr>
              <w:t xml:space="preserve"> 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vMerge w:val="restart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Voturile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ABTINERE se Numara la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voturile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IMPOTRIVA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0</w:t>
            </w:r>
          </w:p>
        </w:tc>
      </w:tr>
      <w:tr w:rsidR="00534C16" w:rsidRPr="00534C16" w:rsidTr="006C0CB2">
        <w:trPr>
          <w:trHeight w:val="363"/>
        </w:trPr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0" w:type="dxa"/>
            <w:gridSpan w:val="2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voturi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         </w:t>
            </w:r>
            <w:r w:rsidRPr="00534C16">
              <w:rPr>
                <w:rFonts w:ascii="Times New Roman" w:hAnsi="Times New Roman" w:cs="Times New Roman"/>
                <w:b/>
              </w:rPr>
              <w:t>,, ABTINERE,,</w:t>
            </w:r>
          </w:p>
        </w:tc>
        <w:tc>
          <w:tcPr>
            <w:tcW w:w="3840" w:type="dxa"/>
            <w:gridSpan w:val="3"/>
            <w:vMerge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0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</w:tc>
      </w:tr>
      <w:tr w:rsidR="00534C16" w:rsidRPr="00534C16" w:rsidTr="006C0CB2">
        <w:trPr>
          <w:trHeight w:val="420"/>
        </w:trPr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0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locali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absenteaza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motivat</w:t>
            </w:r>
            <w:proofErr w:type="spellEnd"/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0</w:t>
            </w:r>
          </w:p>
        </w:tc>
      </w:tr>
      <w:tr w:rsidR="00534C16" w:rsidRPr="00534C16" w:rsidTr="006C0CB2">
        <w:trPr>
          <w:trHeight w:val="420"/>
        </w:trPr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70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locali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absenteaza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nemotivat</w:t>
            </w:r>
            <w:proofErr w:type="spellEnd"/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0</w:t>
            </w:r>
          </w:p>
        </w:tc>
      </w:tr>
      <w:tr w:rsidR="00534C16" w:rsidRPr="00534C16" w:rsidTr="006C0CB2">
        <w:trPr>
          <w:trHeight w:val="420"/>
        </w:trPr>
        <w:tc>
          <w:tcPr>
            <w:tcW w:w="480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0" w:type="dxa"/>
            <w:gridSpan w:val="5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Numarul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locali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care  nu </w:t>
            </w:r>
            <w:proofErr w:type="spellStart"/>
            <w:r w:rsidRPr="00534C16">
              <w:rPr>
                <w:rFonts w:ascii="Times New Roman" w:hAnsi="Times New Roman" w:cs="Times New Roman"/>
              </w:rPr>
              <w:t>iau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parte la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deliberare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si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adoptarea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hotararii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4C16">
              <w:rPr>
                <w:rFonts w:ascii="Times New Roman" w:hAnsi="Times New Roman" w:cs="Times New Roman"/>
              </w:rPr>
              <w:t>neavand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drept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vot</w:t>
            </w:r>
            <w:proofErr w:type="spellEnd"/>
          </w:p>
        </w:tc>
        <w:tc>
          <w:tcPr>
            <w:tcW w:w="72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0</w:t>
            </w:r>
          </w:p>
        </w:tc>
      </w:tr>
      <w:tr w:rsidR="00534C16" w:rsidRPr="00534C16" w:rsidTr="006C0CB2">
        <w:trPr>
          <w:trHeight w:val="420"/>
        </w:trPr>
        <w:tc>
          <w:tcPr>
            <w:tcW w:w="7005" w:type="dxa"/>
            <w:gridSpan w:val="5"/>
            <w:tcBorders>
              <w:bottom w:val="single" w:sz="4" w:space="0" w:color="auto"/>
            </w:tcBorders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Semnatura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secretarului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general al  </w:t>
            </w:r>
            <w:proofErr w:type="spellStart"/>
            <w:r w:rsidRPr="00534C16">
              <w:rPr>
                <w:rFonts w:ascii="Times New Roman" w:hAnsi="Times New Roman" w:cs="Times New Roman"/>
              </w:rPr>
              <w:t>unitatii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administrative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teritoriale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</w:rPr>
            </w:pPr>
          </w:p>
        </w:tc>
      </w:tr>
    </w:tbl>
    <w:p w:rsidR="00534C16" w:rsidRPr="00534C16" w:rsidRDefault="00534C16" w:rsidP="00534C1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C16">
        <w:rPr>
          <w:rFonts w:ascii="Times New Roman" w:hAnsi="Times New Roman" w:cs="Times New Roman"/>
          <w:b/>
          <w:sz w:val="24"/>
          <w:szCs w:val="24"/>
        </w:rPr>
        <w:t>Cartus</w:t>
      </w:r>
      <w:proofErr w:type="spellEnd"/>
      <w:r w:rsidRPr="00534C16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34C16">
        <w:rPr>
          <w:rFonts w:ascii="Times New Roman" w:hAnsi="Times New Roman" w:cs="Times New Roman"/>
          <w:b/>
          <w:sz w:val="24"/>
          <w:szCs w:val="24"/>
        </w:rPr>
        <w:t>proceduri</w:t>
      </w:r>
      <w:proofErr w:type="spellEnd"/>
      <w:r w:rsidRPr="00534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C16">
        <w:rPr>
          <w:rFonts w:ascii="Times New Roman" w:hAnsi="Times New Roman" w:cs="Times New Roman"/>
          <w:b/>
          <w:sz w:val="24"/>
          <w:szCs w:val="24"/>
        </w:rPr>
        <w:t>obligatorii</w:t>
      </w:r>
      <w:proofErr w:type="spellEnd"/>
      <w:r w:rsidRPr="00534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C16">
        <w:rPr>
          <w:rFonts w:ascii="Times New Roman" w:hAnsi="Times New Roman" w:cs="Times New Roman"/>
          <w:b/>
          <w:sz w:val="24"/>
          <w:szCs w:val="24"/>
        </w:rPr>
        <w:t>ulterioare</w:t>
      </w:r>
      <w:proofErr w:type="spellEnd"/>
      <w:r w:rsidRPr="00534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C16">
        <w:rPr>
          <w:rFonts w:ascii="Times New Roman" w:hAnsi="Times New Roman" w:cs="Times New Roman"/>
          <w:b/>
          <w:sz w:val="24"/>
          <w:szCs w:val="24"/>
        </w:rPr>
        <w:t>adoptarii</w:t>
      </w:r>
      <w:proofErr w:type="spellEnd"/>
      <w:r w:rsidRPr="00534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C16">
        <w:rPr>
          <w:rFonts w:ascii="Times New Roman" w:hAnsi="Times New Roman" w:cs="Times New Roman"/>
          <w:b/>
          <w:sz w:val="24"/>
          <w:szCs w:val="24"/>
        </w:rPr>
        <w:t>hotararii</w:t>
      </w:r>
      <w:proofErr w:type="spellEnd"/>
      <w:r w:rsidRPr="00534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C16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534C16">
        <w:rPr>
          <w:rFonts w:ascii="Times New Roman" w:hAnsi="Times New Roman" w:cs="Times New Roman"/>
          <w:b/>
          <w:sz w:val="24"/>
          <w:szCs w:val="24"/>
        </w:rPr>
        <w:t xml:space="preserve"> local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268"/>
      </w:tblGrid>
      <w:tr w:rsidR="00534C16" w:rsidRPr="00534C16" w:rsidTr="006C0CB2">
        <w:tc>
          <w:tcPr>
            <w:tcW w:w="10173" w:type="dxa"/>
            <w:gridSpan w:val="4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>PROCEDURI OBLIGATORII ULTERIOARE ADOPTARII HOT</w:t>
            </w:r>
            <w:r w:rsidR="00A9688B">
              <w:rPr>
                <w:rFonts w:ascii="Times New Roman" w:hAnsi="Times New Roman" w:cs="Times New Roman"/>
                <w:b/>
                <w:sz w:val="24"/>
                <w:szCs w:val="24"/>
              </w:rPr>
              <w:t>ARARII CONSILIULUI LOCAL NR. 16</w:t>
            </w:r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968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.05.2022</w:t>
            </w:r>
          </w:p>
        </w:tc>
      </w:tr>
      <w:tr w:rsidR="00534C16" w:rsidRPr="00534C16" w:rsidTr="006C0CB2">
        <w:tc>
          <w:tcPr>
            <w:tcW w:w="534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95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OPERATIUNI EFECTUATE</w:t>
            </w:r>
          </w:p>
        </w:tc>
        <w:tc>
          <w:tcPr>
            <w:tcW w:w="1418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ZZ/LL/AN</w:t>
            </w:r>
          </w:p>
        </w:tc>
        <w:tc>
          <w:tcPr>
            <w:tcW w:w="2268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</w:p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efectueze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</w:p>
        </w:tc>
      </w:tr>
      <w:tr w:rsidR="00534C16" w:rsidRPr="00534C16" w:rsidTr="006C0CB2">
        <w:tc>
          <w:tcPr>
            <w:tcW w:w="534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Adoptarea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hotararii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s-a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facut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</w:p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Majoritate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simpla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,__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absoluta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,__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calificata</w:t>
            </w:r>
            <w:proofErr w:type="spellEnd"/>
          </w:p>
        </w:tc>
        <w:tc>
          <w:tcPr>
            <w:tcW w:w="1418" w:type="dxa"/>
          </w:tcPr>
          <w:p w:rsidR="00534C16" w:rsidRPr="00534C16" w:rsidRDefault="00A9688B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4C16" w:rsidRPr="00534C16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268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16" w:rsidRPr="00534C16" w:rsidTr="006C0CB2">
        <w:tc>
          <w:tcPr>
            <w:tcW w:w="534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418" w:type="dxa"/>
          </w:tcPr>
          <w:p w:rsidR="00534C16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4C16" w:rsidRPr="00534C16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268" w:type="dxa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C" w:rsidRPr="00534C16" w:rsidTr="006C0CB2">
        <w:tc>
          <w:tcPr>
            <w:tcW w:w="534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prefectul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judetului</w:t>
            </w:r>
            <w:proofErr w:type="spellEnd"/>
          </w:p>
        </w:tc>
        <w:tc>
          <w:tcPr>
            <w:tcW w:w="1418" w:type="dxa"/>
          </w:tcPr>
          <w:p w:rsidR="0012696C" w:rsidRDefault="0012696C">
            <w:r w:rsidRPr="006769C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268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C" w:rsidRPr="00534C16" w:rsidTr="006C0CB2">
        <w:tc>
          <w:tcPr>
            <w:tcW w:w="534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Aducerea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cunostinta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publica</w:t>
            </w:r>
            <w:proofErr w:type="spellEnd"/>
          </w:p>
        </w:tc>
        <w:tc>
          <w:tcPr>
            <w:tcW w:w="1418" w:type="dxa"/>
          </w:tcPr>
          <w:p w:rsidR="0012696C" w:rsidRDefault="0012696C">
            <w:r w:rsidRPr="006769C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268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C" w:rsidRPr="00534C16" w:rsidTr="006C0CB2">
        <w:tc>
          <w:tcPr>
            <w:tcW w:w="534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numai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celei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individual</w:t>
            </w:r>
          </w:p>
        </w:tc>
        <w:tc>
          <w:tcPr>
            <w:tcW w:w="1418" w:type="dxa"/>
          </w:tcPr>
          <w:p w:rsidR="0012696C" w:rsidRDefault="0012696C">
            <w:r w:rsidRPr="006769C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268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C" w:rsidRPr="00534C16" w:rsidTr="006C0CB2">
        <w:tc>
          <w:tcPr>
            <w:tcW w:w="534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Hotararea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devine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obligatoriesau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produce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efcte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dupa</w:t>
            </w:r>
            <w:proofErr w:type="spellEnd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418" w:type="dxa"/>
          </w:tcPr>
          <w:p w:rsidR="0012696C" w:rsidRDefault="0012696C">
            <w:r w:rsidRPr="006769C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268" w:type="dxa"/>
          </w:tcPr>
          <w:p w:rsidR="0012696C" w:rsidRPr="00534C16" w:rsidRDefault="0012696C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34C16" w:rsidRPr="00534C16" w:rsidTr="006C0CB2">
        <w:tc>
          <w:tcPr>
            <w:tcW w:w="10173" w:type="dxa"/>
            <w:gridSpan w:val="4"/>
          </w:tcPr>
          <w:p w:rsidR="00534C16" w:rsidRPr="00534C16" w:rsidRDefault="00534C16" w:rsidP="0053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16">
              <w:rPr>
                <w:rFonts w:ascii="Times New Roman" w:hAnsi="Times New Roman" w:cs="Times New Roman"/>
              </w:rPr>
              <w:t>Extrase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din </w:t>
            </w:r>
            <w:hyperlink r:id="rId6" w:history="1">
              <w:proofErr w:type="spellStart"/>
              <w:r w:rsidRPr="00534C16">
                <w:rPr>
                  <w:rFonts w:ascii="Times New Roman" w:hAnsi="Times New Roman" w:cs="Times New Roman"/>
                  <w:color w:val="0000FF"/>
                  <w:u w:val="single"/>
                </w:rPr>
                <w:t>Ordonanţa</w:t>
              </w:r>
              <w:proofErr w:type="spellEnd"/>
              <w:r w:rsidRPr="00534C16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de </w:t>
              </w:r>
              <w:proofErr w:type="spellStart"/>
              <w:r w:rsidRPr="00534C16">
                <w:rPr>
                  <w:rFonts w:ascii="Times New Roman" w:hAnsi="Times New Roman" w:cs="Times New Roman"/>
                  <w:color w:val="0000FF"/>
                  <w:u w:val="single"/>
                </w:rPr>
                <w:t>urgenţă</w:t>
              </w:r>
              <w:proofErr w:type="spellEnd"/>
              <w:r w:rsidRPr="00534C16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a </w:t>
              </w:r>
              <w:proofErr w:type="spellStart"/>
              <w:r w:rsidRPr="00534C16">
                <w:rPr>
                  <w:rFonts w:ascii="Times New Roman" w:hAnsi="Times New Roman" w:cs="Times New Roman"/>
                  <w:color w:val="0000FF"/>
                  <w:u w:val="single"/>
                </w:rPr>
                <w:t>Guvernului</w:t>
              </w:r>
              <w:proofErr w:type="spellEnd"/>
              <w:r w:rsidRPr="00534C16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nr. 57/2019</w:t>
              </w:r>
            </w:hyperlink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privind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Codul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534C16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şi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ulterioare</w:t>
            </w:r>
            <w:proofErr w:type="spellEnd"/>
            <w:proofErr w:type="gramStart"/>
            <w:r w:rsidRPr="00534C16">
              <w:rPr>
                <w:rFonts w:ascii="Times New Roman" w:hAnsi="Times New Roman" w:cs="Times New Roman"/>
              </w:rPr>
              <w:t>:</w:t>
            </w:r>
            <w:proofErr w:type="gramEnd"/>
            <w:r w:rsidRPr="00534C16">
              <w:rPr>
                <w:rFonts w:ascii="Times New Roman" w:hAnsi="Times New Roman" w:cs="Times New Roman"/>
              </w:rPr>
              <w:br/>
              <w:t xml:space="preserve">1) Art. 139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>. (1): "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exercitarea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atribuţiilor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revin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local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adoptă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hotărâri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534C16">
              <w:rPr>
                <w:rFonts w:ascii="Times New Roman" w:hAnsi="Times New Roman" w:cs="Times New Roman"/>
              </w:rPr>
              <w:t>majoritate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absolută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sau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simplă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după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caz</w:t>
            </w:r>
            <w:proofErr w:type="spellEnd"/>
            <w:r w:rsidRPr="00534C16">
              <w:rPr>
                <w:rFonts w:ascii="Times New Roman" w:hAnsi="Times New Roman" w:cs="Times New Roman"/>
              </w:rPr>
              <w:t>.</w:t>
            </w:r>
            <w:r w:rsidRPr="00534C16">
              <w:rPr>
                <w:rFonts w:ascii="Times New Roman" w:hAnsi="Times New Roman" w:cs="Times New Roman"/>
              </w:rPr>
              <w:br/>
              <w:t xml:space="preserve">(2)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Prin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excepţie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. (1), 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privind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dobândirea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sau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înstrăinarea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dreptului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cazul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bunurilor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imobile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adoptă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local cu </w:t>
            </w:r>
            <w:proofErr w:type="spellStart"/>
            <w:r w:rsidRPr="00534C16">
              <w:rPr>
                <w:rFonts w:ascii="Times New Roman" w:hAnsi="Times New Roman" w:cs="Times New Roman"/>
              </w:rPr>
              <w:t>majoritatea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calificată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definită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la art. 5 lit. </w:t>
            </w:r>
            <w:proofErr w:type="spellStart"/>
            <w:proofErr w:type="gramStart"/>
            <w:r w:rsidRPr="00534C16">
              <w:rPr>
                <w:rFonts w:ascii="Times New Roman" w:hAnsi="Times New Roman" w:cs="Times New Roman"/>
              </w:rPr>
              <w:t>dd</w:t>
            </w:r>
            <w:proofErr w:type="spellEnd"/>
            <w:proofErr w:type="gramEnd"/>
            <w:r w:rsidRPr="00534C16">
              <w:rPr>
                <w:rFonts w:ascii="Times New Roman" w:hAnsi="Times New Roman" w:cs="Times New Roman"/>
              </w:rPr>
              <w:t xml:space="preserve">), de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două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treimi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534C16">
              <w:rPr>
                <w:rFonts w:ascii="Times New Roman" w:hAnsi="Times New Roman" w:cs="Times New Roman"/>
              </w:rPr>
              <w:t>numărul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consilierilor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locali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funcţie</w:t>
            </w:r>
            <w:proofErr w:type="spellEnd"/>
            <w:r w:rsidRPr="00534C16">
              <w:rPr>
                <w:rFonts w:ascii="Times New Roman" w:hAnsi="Times New Roman" w:cs="Times New Roman"/>
              </w:rPr>
              <w:t>."</w:t>
            </w:r>
            <w:r w:rsidRPr="00534C16">
              <w:rPr>
                <w:rFonts w:ascii="Times New Roman" w:hAnsi="Times New Roman" w:cs="Times New Roman"/>
              </w:rPr>
              <w:br/>
              <w:t xml:space="preserve">2) Art. 197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>. (2): "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local se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comunică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primarului</w:t>
            </w:r>
            <w:proofErr w:type="spellEnd"/>
            <w:r w:rsidRPr="00534C16">
              <w:rPr>
                <w:rFonts w:ascii="Times New Roman" w:hAnsi="Times New Roman" w:cs="Times New Roman"/>
              </w:rPr>
              <w:t>."</w:t>
            </w:r>
            <w:r w:rsidRPr="00534C16">
              <w:rPr>
                <w:rFonts w:ascii="Times New Roman" w:hAnsi="Times New Roman" w:cs="Times New Roman"/>
              </w:rPr>
              <w:br/>
              <w:t xml:space="preserve">3) Art. 197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. (1),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adaptat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34C16">
              <w:rPr>
                <w:rFonts w:ascii="Times New Roman" w:hAnsi="Times New Roman" w:cs="Times New Roman"/>
              </w:rPr>
              <w:t>Secretarul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general al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comunei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comunică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local al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comunei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prefectului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cel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mult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534C16">
              <w:rPr>
                <w:rFonts w:ascii="Times New Roman" w:hAnsi="Times New Roman" w:cs="Times New Roman"/>
              </w:rPr>
              <w:t>zile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lucrătoare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la data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adoptării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. . </w:t>
            </w:r>
            <w:proofErr w:type="gramStart"/>
            <w:r w:rsidRPr="00534C16">
              <w:rPr>
                <w:rFonts w:ascii="Times New Roman" w:hAnsi="Times New Roman" w:cs="Times New Roman"/>
              </w:rPr>
              <w:t>.</w:t>
            </w:r>
            <w:proofErr w:type="gramEnd"/>
            <w:r w:rsidRPr="00534C16">
              <w:rPr>
                <w:rFonts w:ascii="Times New Roman" w:hAnsi="Times New Roman" w:cs="Times New Roman"/>
              </w:rPr>
              <w:br/>
              <w:t xml:space="preserve">4) Art. 197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>. (4): "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. . . se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aduc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cunoştinţa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publică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şi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comunică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condiţiile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legii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prin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grija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secretarului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general al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comunei</w:t>
            </w:r>
            <w:proofErr w:type="spellEnd"/>
            <w:r w:rsidRPr="00534C16">
              <w:rPr>
                <w:rFonts w:ascii="Times New Roman" w:hAnsi="Times New Roman" w:cs="Times New Roman"/>
              </w:rPr>
              <w:t>."</w:t>
            </w:r>
            <w:r w:rsidRPr="00534C16">
              <w:rPr>
                <w:rFonts w:ascii="Times New Roman" w:hAnsi="Times New Roman" w:cs="Times New Roman"/>
              </w:rPr>
              <w:br/>
              <w:t xml:space="preserve">5) Art. 199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>. (1): "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Comunicarea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hotărârilor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. . . cu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caracter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individual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către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persoanele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cărora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li se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adresează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se face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în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cel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mult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534C16">
              <w:rPr>
                <w:rFonts w:ascii="Times New Roman" w:hAnsi="Times New Roman" w:cs="Times New Roman"/>
              </w:rPr>
              <w:t>zile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la data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comunicării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oficiale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către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prefect."</w:t>
            </w:r>
            <w:r w:rsidRPr="00534C16">
              <w:rPr>
                <w:rFonts w:ascii="Times New Roman" w:hAnsi="Times New Roman" w:cs="Times New Roman"/>
              </w:rPr>
              <w:br/>
              <w:t xml:space="preserve">6) Art. 198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>. (1): "</w:t>
            </w:r>
            <w:proofErr w:type="spellStart"/>
            <w:proofErr w:type="gramStart"/>
            <w:r w:rsidRPr="00534C16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34C1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34C16">
              <w:rPr>
                <w:rFonts w:ascii="Times New Roman" w:hAnsi="Times New Roman" w:cs="Times New Roman"/>
              </w:rPr>
              <w:t>cu</w:t>
            </w:r>
            <w:proofErr w:type="gram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caracter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normativ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devin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obligatorii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la data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aducerii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lor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cunoştinţă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publică</w:t>
            </w:r>
            <w:proofErr w:type="spellEnd"/>
            <w:r w:rsidRPr="00534C16">
              <w:rPr>
                <w:rFonts w:ascii="Times New Roman" w:hAnsi="Times New Roman" w:cs="Times New Roman"/>
              </w:rPr>
              <w:t>."</w:t>
            </w:r>
            <w:r w:rsidRPr="00534C16">
              <w:rPr>
                <w:rFonts w:ascii="Times New Roman" w:hAnsi="Times New Roman" w:cs="Times New Roman"/>
              </w:rPr>
              <w:br/>
              <w:t xml:space="preserve">7) Art. 199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alin</w:t>
            </w:r>
            <w:proofErr w:type="spellEnd"/>
            <w:r w:rsidRPr="00534C16">
              <w:rPr>
                <w:rFonts w:ascii="Times New Roman" w:hAnsi="Times New Roman" w:cs="Times New Roman"/>
              </w:rPr>
              <w:t>. (2): "</w:t>
            </w:r>
            <w:proofErr w:type="spellStart"/>
            <w:r w:rsidRPr="00534C16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4C16">
              <w:rPr>
                <w:rFonts w:ascii="Times New Roman" w:hAnsi="Times New Roman" w:cs="Times New Roman"/>
              </w:rPr>
              <w:t>. .</w:t>
            </w:r>
            <w:proofErr w:type="gram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4C16">
              <w:rPr>
                <w:rFonts w:ascii="Times New Roman" w:hAnsi="Times New Roman" w:cs="Times New Roman"/>
              </w:rPr>
              <w:t>cu</w:t>
            </w:r>
            <w:proofErr w:type="gram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caracter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individual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produc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efecte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juridice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de la data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comunicării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către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persoanele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C16">
              <w:rPr>
                <w:rFonts w:ascii="Times New Roman" w:hAnsi="Times New Roman" w:cs="Times New Roman"/>
              </w:rPr>
              <w:t>cărora</w:t>
            </w:r>
            <w:proofErr w:type="spellEnd"/>
            <w:r w:rsidRPr="00534C16">
              <w:rPr>
                <w:rFonts w:ascii="Times New Roman" w:hAnsi="Times New Roman" w:cs="Times New Roman"/>
              </w:rPr>
              <w:t xml:space="preserve"> li se </w:t>
            </w:r>
            <w:proofErr w:type="spellStart"/>
            <w:r w:rsidRPr="00534C16">
              <w:rPr>
                <w:rFonts w:ascii="Times New Roman" w:hAnsi="Times New Roman" w:cs="Times New Roman"/>
              </w:rPr>
              <w:t>adresează</w:t>
            </w:r>
            <w:proofErr w:type="spellEnd"/>
            <w:r w:rsidRPr="00534C16">
              <w:rPr>
                <w:rFonts w:ascii="Times New Roman" w:hAnsi="Times New Roman" w:cs="Times New Roman"/>
              </w:rPr>
              <w:t>."</w:t>
            </w:r>
          </w:p>
        </w:tc>
      </w:tr>
    </w:tbl>
    <w:p w:rsidR="00534C16" w:rsidRDefault="00534C16"/>
    <w:sectPr w:rsidR="00534C16" w:rsidSect="00534C1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0946"/>
    <w:multiLevelType w:val="hybridMultilevel"/>
    <w:tmpl w:val="E31A19AA"/>
    <w:lvl w:ilvl="0" w:tplc="B9743CB2">
      <w:start w:val="29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16"/>
    <w:rsid w:val="0012696C"/>
    <w:rsid w:val="004B0F0B"/>
    <w:rsid w:val="00534C16"/>
    <w:rsid w:val="00A9688B"/>
    <w:rsid w:val="00AB6A9B"/>
    <w:rsid w:val="00D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16"/>
    <w:pPr>
      <w:ind w:left="720"/>
      <w:contextualSpacing/>
    </w:pPr>
  </w:style>
  <w:style w:type="table" w:styleId="TableGrid">
    <w:name w:val="Table Grid"/>
    <w:basedOn w:val="TableNormal"/>
    <w:uiPriority w:val="59"/>
    <w:rsid w:val="0053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16"/>
    <w:pPr>
      <w:ind w:left="720"/>
      <w:contextualSpacing/>
    </w:pPr>
  </w:style>
  <w:style w:type="table" w:styleId="TableGrid">
    <w:name w:val="Table Grid"/>
    <w:basedOn w:val="TableNormal"/>
    <w:uiPriority w:val="59"/>
    <w:rsid w:val="0053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l\Desktop\Mai22\DB0;LexAct%203872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2022-05-19T10:38:00Z</cp:lastPrinted>
  <dcterms:created xsi:type="dcterms:W3CDTF">2022-05-19T09:45:00Z</dcterms:created>
  <dcterms:modified xsi:type="dcterms:W3CDTF">2022-05-19T10:40:00Z</dcterms:modified>
</cp:coreProperties>
</file>