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4A" w:rsidRPr="0094264A" w:rsidRDefault="0094264A" w:rsidP="00942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</w:p>
    <w:p w:rsidR="0094264A" w:rsidRPr="0094264A" w:rsidRDefault="0094264A" w:rsidP="0094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(1)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îndeplineşte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condiţiile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264A" w:rsidRPr="0094264A" w:rsidRDefault="0094264A" w:rsidP="009426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a)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avizează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proiectele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contrasemnează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legalitate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dispoziţiile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b)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participă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c)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gestionarea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procedurilor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administrative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relaţia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dintre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aceştia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prefect;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d)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coordonează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arhivei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evidenţa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statistică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dispoziţiilor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dispoziţiilor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e)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transparenţa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comunicarea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instituţiile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persoanele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interesate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actelor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lit. a);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f)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procedurile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convocare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efectuarea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lucrărilor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secretariat,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comunicarea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ordinii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zi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întocmirea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procesului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verbal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redactarea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g)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pregătirea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lucrărilor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supuse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dezbaterii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h)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atesta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derogare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Ordonanţei</w:t>
        </w:r>
        <w:proofErr w:type="spellEnd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Guvernului</w:t>
        </w:r>
        <w:proofErr w:type="spellEnd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nr. </w:t>
        </w:r>
        <w:proofErr w:type="gramStart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26/2000</w:t>
        </w:r>
      </w:hyperlink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asociaţii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fundaţii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aprobată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modificări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completări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Legea</w:t>
        </w:r>
        <w:proofErr w:type="spellEnd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nr.</w:t>
        </w:r>
        <w:proofErr w:type="gramEnd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246/2005</w:t>
        </w:r>
      </w:hyperlink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actul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constitutiv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statutul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asociaţiilor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intercomunitară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din care face parte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unitatea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căreia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funcţionează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propune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înscrierea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probleme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proiectul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ordinii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zi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ordinare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j)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efectuează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apelul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nominal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ţine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evidenţa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participării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consilierilor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locali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consilierilor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judeţeni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k)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numără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voturile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consemnează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rezultatul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votării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prezintă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înlocuitorului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l)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informează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înlocuitorul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cvorumul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lastRenderedPageBreak/>
        <w:t>majoritatea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adoptarea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fiecărei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m)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întocmirea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dosarelor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numerotarea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paginilor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semnarea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ştampilarea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n)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urmăreşte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deliberarea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adoptarea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hotărâri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parte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consilierii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locali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consilierii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judeţeni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care se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încadrează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dispoziţiile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art. </w:t>
      </w:r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228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(2);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informează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şedinţă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înlocuitorul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asemenea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situaţii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face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cunoscute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sancţiunile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asemenea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cazuri</w:t>
      </w:r>
      <w:proofErr w:type="spellEnd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o)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certifică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conformitatea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copiei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originale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arhiva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p)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însărcinări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date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administrative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local,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preşedintele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judeţean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264A" w:rsidRPr="0094264A" w:rsidRDefault="0094264A" w:rsidP="0094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(2)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derogare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art. </w:t>
      </w:r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din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Legea</w:t>
        </w:r>
        <w:proofErr w:type="spellEnd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nr. </w:t>
        </w:r>
        <w:proofErr w:type="gramStart"/>
        <w:r w:rsidRPr="00942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273/2006</w:t>
        </w:r>
      </w:hyperlink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finanţele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locale,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situaţiile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art.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147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(1) </w:t>
      </w:r>
      <w:proofErr w:type="spellStart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la art. </w:t>
      </w:r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186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(1) </w:t>
      </w:r>
      <w:proofErr w:type="spellStart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(2),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îndeplineşte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funcţia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ordonator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principal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credite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activităţile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curente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(3)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oraşului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comunică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sesizare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deschiderea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procedurii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succesorale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camerei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notarilor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publici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oficiului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cadastru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publicitate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imobiliară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cărei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circumscripţie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defunctul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avut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ultimul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264A" w:rsidRPr="0094264A" w:rsidRDefault="0094264A" w:rsidP="009426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a)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termen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30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la data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decesului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situaţia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decesul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survenit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localitatea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b)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data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luării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situaţia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decesul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survenit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raza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altei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unităţi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c)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data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primirii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sesizării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oficiul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cărei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competenţă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află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imobilele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defuncţilor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înscrişi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cărţi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funciare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înfiinţate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finalizării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înregistrării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sistematice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264A" w:rsidRPr="0094264A" w:rsidRDefault="0094264A" w:rsidP="0094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(4)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Sesizarea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(3) </w:t>
      </w:r>
      <w:proofErr w:type="spellStart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cuprinde</w:t>
      </w:r>
      <w:proofErr w:type="spellEnd"/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264A" w:rsidRPr="0094264A" w:rsidRDefault="0094264A" w:rsidP="009426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a)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numele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prenumele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codul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numeric personal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defunctului</w:t>
      </w:r>
      <w:proofErr w:type="spellEnd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b)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decesului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format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zi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lună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, an;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c)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data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naşterii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format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zi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lună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, an;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d)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ultimul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defunctului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e)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bunurile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mobile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imobile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defunctului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înregistrate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evidenţele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fiscale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registrul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agricol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f)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date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despre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eventualii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succesibili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format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care se face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citarea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264A" w:rsidRPr="0094264A" w:rsidRDefault="0094264A" w:rsidP="0094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(5)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(3) </w:t>
      </w:r>
      <w:proofErr w:type="spellStart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poate</w:t>
      </w:r>
      <w:proofErr w:type="spellEnd"/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delegată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multe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persoane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exercită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delegate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ofiţer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stare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civilă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dispoziţia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propunerea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unităţii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(6)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Primarul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urmăreşte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îndeplinirea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acestei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oraşului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subdiviziunii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ofiţerul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stare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civilă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delegat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condiţiile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 (5)</w:t>
      </w:r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(7)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Neîndeplinirea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atribuţiei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prevăzute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(3) </w:t>
      </w:r>
      <w:proofErr w:type="spellStart"/>
      <w:proofErr w:type="gramStart"/>
      <w:r w:rsidRPr="0094264A">
        <w:rPr>
          <w:rFonts w:ascii="Times New Roman" w:eastAsia="Times New Roman" w:hAnsi="Times New Roman" w:cs="Times New Roman"/>
          <w:sz w:val="28"/>
          <w:szCs w:val="28"/>
        </w:rPr>
        <w:t>atrage</w:t>
      </w:r>
      <w:proofErr w:type="spellEnd"/>
      <w:proofErr w:type="gram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sancţionarea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disciplinară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contravenţională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persoanei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responsabile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color w:val="CC0099"/>
          <w:sz w:val="28"/>
          <w:szCs w:val="28"/>
        </w:rPr>
        <w:t>(8)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Secretarii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generali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oraşelor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unde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funcţionează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birouri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notarilor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publici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îndeplinesc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cererea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părţilor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notariale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264A" w:rsidRPr="0094264A" w:rsidRDefault="0094264A" w:rsidP="009426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a)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legalizarea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semnăturilor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înscrisurile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prezentate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părţi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vederea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acordării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autorităţile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administraţiei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locale de la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comunelor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oraşelor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beneficiilor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asistenţă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socială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br/>
      </w:r>
      <w:r w:rsidRPr="0094264A">
        <w:rPr>
          <w:rFonts w:ascii="Times New Roman" w:eastAsia="Times New Roman" w:hAnsi="Times New Roman" w:cs="Times New Roman"/>
          <w:b/>
          <w:bCs/>
          <w:sz w:val="28"/>
          <w:szCs w:val="28"/>
        </w:rPr>
        <w:t>b)</w:t>
      </w:r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legalizarea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copiilor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înscrisurile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prezentate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părţi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excepţia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înscrisurilor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sub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semnătură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64A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Pr="00942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1E7C" w:rsidRDefault="006E1E7C"/>
    <w:sectPr w:rsidR="006E1E7C" w:rsidSect="006E1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64A"/>
    <w:rsid w:val="006E1E7C"/>
    <w:rsid w:val="0094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7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942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87388" TargetMode="External"/><Relationship Id="rId5" Type="http://schemas.openxmlformats.org/officeDocument/2006/relationships/hyperlink" Target="unsaved://LexNavigator.htm/DB0;LexAct%2078109" TargetMode="External"/><Relationship Id="rId4" Type="http://schemas.openxmlformats.org/officeDocument/2006/relationships/hyperlink" Target="unsaved://LexNavigator.htm/DB0;LexAct%202664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Company>Unitate Scolara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2020-05-15T10:48:00Z</dcterms:created>
  <dcterms:modified xsi:type="dcterms:W3CDTF">2020-05-15T10:48:00Z</dcterms:modified>
</cp:coreProperties>
</file>